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06" w:rsidRPr="00DA0D0C" w:rsidRDefault="00E92F06" w:rsidP="00E92F06">
      <w:pPr>
        <w:jc w:val="center"/>
        <w:rPr>
          <w:rFonts w:ascii="Times New Roman" w:hAnsi="Times New Roman" w:cs="Times New Roman"/>
          <w:color w:val="242424"/>
          <w:sz w:val="26"/>
          <w:szCs w:val="26"/>
          <w:u w:val="single"/>
          <w:shd w:val="clear" w:color="auto" w:fill="FFFFFF"/>
        </w:rPr>
      </w:pPr>
      <w:bookmarkStart w:id="0" w:name="_GoBack"/>
      <w:r w:rsidRPr="00DA0D0C">
        <w:rPr>
          <w:rFonts w:ascii="Times New Roman" w:hAnsi="Times New Roman" w:cs="Times New Roman"/>
          <w:b/>
          <w:bCs/>
          <w:color w:val="242424"/>
          <w:sz w:val="26"/>
          <w:szCs w:val="26"/>
          <w:u w:val="single"/>
          <w:shd w:val="clear" w:color="auto" w:fill="FFFFFF"/>
        </w:rPr>
        <w:t>НАЛОГ ПРИ УСН: ИЗМЕНЕНИЯ НАЛОГОВОГО КОДЕКСА С 01.01.2023</w:t>
      </w:r>
    </w:p>
    <w:bookmarkEnd w:id="0"/>
    <w:p w:rsidR="00335835" w:rsidRPr="00DA0D0C" w:rsidRDefault="00E57C16" w:rsidP="00E92F06">
      <w:pPr>
        <w:jc w:val="both"/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С 01.01.2023 из состава плательщиков исключены</w:t>
      </w:r>
      <w:r w:rsidRPr="00DA0D0C">
        <w:rPr>
          <w:rStyle w:val="fake-non-breaking-space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  <w:r w:rsidRPr="00DA0D0C">
        <w:rPr>
          <w:rStyle w:val="word-wrapper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FFFFF"/>
        </w:rPr>
        <w:t>индивидуальные предприниматели и нотариусы</w:t>
      </w:r>
      <w:r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 Применять УСН с указанного периода вправе только организации, которые отвечают установленным условиям и критериям данной системы налогообложения</w:t>
      </w:r>
      <w:r w:rsidR="00E92F06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(</w:t>
      </w:r>
      <w:r w:rsidR="00E92F06" w:rsidRPr="00DA0D0C">
        <w:rPr>
          <w:rStyle w:val="word-wrapper"/>
          <w:rFonts w:ascii="Times New Roman" w:hAnsi="Times New Roman" w:cs="Times New Roman"/>
          <w:sz w:val="26"/>
          <w:szCs w:val="26"/>
        </w:rPr>
        <w:t>п. 1 ст. 324</w:t>
      </w:r>
      <w:r w:rsidR="00E92F06" w:rsidRPr="00DA0D0C">
        <w:rPr>
          <w:rStyle w:val="fake-non-breaking-space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  <w:r w:rsidR="00E92F06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НК-2023).</w:t>
      </w:r>
    </w:p>
    <w:p w:rsidR="00E92F06" w:rsidRPr="00DA0D0C" w:rsidRDefault="00E92F06" w:rsidP="00E92F0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  <w:u w:val="single"/>
        </w:rPr>
      </w:pPr>
      <w:r w:rsidRPr="00DA0D0C">
        <w:rPr>
          <w:rStyle w:val="word-wrapper"/>
          <w:b/>
          <w:color w:val="242424"/>
          <w:sz w:val="26"/>
          <w:szCs w:val="26"/>
          <w:u w:val="single"/>
        </w:rPr>
        <w:t>с 2023 г</w:t>
      </w:r>
      <w:r w:rsidRPr="00DA0D0C">
        <w:rPr>
          <w:rStyle w:val="word-wrapper"/>
          <w:color w:val="242424"/>
          <w:sz w:val="26"/>
          <w:szCs w:val="26"/>
          <w:u w:val="single"/>
        </w:rPr>
        <w:t xml:space="preserve">. </w:t>
      </w:r>
      <w:r w:rsidRPr="00DA0D0C">
        <w:rPr>
          <w:rStyle w:val="word-wrapper"/>
          <w:b/>
          <w:bCs/>
          <w:color w:val="242424"/>
          <w:sz w:val="26"/>
          <w:szCs w:val="26"/>
          <w:u w:val="single"/>
        </w:rPr>
        <w:t>не вправе применять УСН организации</w:t>
      </w:r>
      <w:r w:rsidRPr="00DA0D0C">
        <w:rPr>
          <w:rStyle w:val="word-wrapper"/>
          <w:color w:val="242424"/>
          <w:sz w:val="26"/>
          <w:szCs w:val="26"/>
          <w:u w:val="single"/>
        </w:rPr>
        <w:t>:</w:t>
      </w:r>
    </w:p>
    <w:p w:rsidR="00E92F06" w:rsidRPr="00DA0D0C" w:rsidRDefault="00E92F06" w:rsidP="00E92F0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DA0D0C">
        <w:rPr>
          <w:rStyle w:val="word-wrapper"/>
          <w:color w:val="242424"/>
          <w:sz w:val="26"/>
          <w:szCs w:val="26"/>
        </w:rPr>
        <w:t>1)</w:t>
      </w:r>
      <w:r w:rsidRPr="00DA0D0C">
        <w:rPr>
          <w:rStyle w:val="fake-non-breaking-space"/>
          <w:color w:val="242424"/>
          <w:sz w:val="26"/>
          <w:szCs w:val="26"/>
        </w:rPr>
        <w:t> </w:t>
      </w:r>
      <w:r w:rsidRPr="00DA0D0C">
        <w:rPr>
          <w:rStyle w:val="word-wrapper"/>
          <w:b/>
          <w:bCs/>
          <w:color w:val="242424"/>
          <w:sz w:val="26"/>
          <w:szCs w:val="26"/>
        </w:rPr>
        <w:t xml:space="preserve"> имеющие один или несколько филиалов </w:t>
      </w:r>
      <w:r w:rsidRPr="00DA0D0C">
        <w:rPr>
          <w:rStyle w:val="word-wrapper"/>
          <w:color w:val="242424"/>
          <w:sz w:val="26"/>
          <w:szCs w:val="26"/>
          <w:shd w:val="clear" w:color="auto" w:fill="FFFFFF"/>
        </w:rPr>
        <w:t>состоящих на учете в налоговых органах (</w:t>
      </w:r>
      <w:r w:rsidRPr="00DA0D0C">
        <w:rPr>
          <w:rStyle w:val="word-wrapper"/>
          <w:sz w:val="26"/>
          <w:szCs w:val="26"/>
        </w:rPr>
        <w:t>подп.</w:t>
      </w:r>
      <w:r w:rsidRPr="00DA0D0C">
        <w:rPr>
          <w:rStyle w:val="fake-non-breaking-space"/>
          <w:sz w:val="26"/>
          <w:szCs w:val="26"/>
        </w:rPr>
        <w:t> </w:t>
      </w:r>
      <w:r w:rsidRPr="00DA0D0C">
        <w:rPr>
          <w:rStyle w:val="word-wrapper"/>
          <w:sz w:val="26"/>
          <w:szCs w:val="26"/>
        </w:rPr>
        <w:t>2.1.3 ст. 324</w:t>
      </w:r>
      <w:r w:rsidRPr="00DA0D0C">
        <w:rPr>
          <w:rStyle w:val="fake-non-breaking-space"/>
          <w:color w:val="242424"/>
          <w:sz w:val="26"/>
          <w:szCs w:val="26"/>
          <w:shd w:val="clear" w:color="auto" w:fill="FFFFFF"/>
        </w:rPr>
        <w:t> </w:t>
      </w:r>
      <w:r w:rsidRPr="00DA0D0C">
        <w:rPr>
          <w:rStyle w:val="word-wrapper"/>
          <w:color w:val="242424"/>
          <w:sz w:val="26"/>
          <w:szCs w:val="26"/>
          <w:shd w:val="clear" w:color="auto" w:fill="FFFFFF"/>
        </w:rPr>
        <w:t>НК-2023).</w:t>
      </w:r>
      <w:r w:rsidRPr="00DA0D0C">
        <w:rPr>
          <w:rStyle w:val="fake-non-breaking-space"/>
          <w:color w:val="242424"/>
          <w:sz w:val="26"/>
          <w:szCs w:val="26"/>
          <w:shd w:val="clear" w:color="auto" w:fill="FFFFFF"/>
        </w:rPr>
        <w:t> </w:t>
      </w:r>
      <w:r w:rsidRPr="00DA0D0C">
        <w:rPr>
          <w:rStyle w:val="word-wrapper"/>
          <w:i/>
          <w:color w:val="242424"/>
          <w:sz w:val="26"/>
          <w:szCs w:val="26"/>
          <w:shd w:val="clear" w:color="auto" w:fill="FFFFFF"/>
        </w:rPr>
        <w:t>филиал - это</w:t>
      </w:r>
      <w:r w:rsidRPr="00DA0D0C">
        <w:rPr>
          <w:rStyle w:val="fake-non-breaking-space"/>
          <w:i/>
          <w:color w:val="242424"/>
          <w:sz w:val="26"/>
          <w:szCs w:val="26"/>
          <w:shd w:val="clear" w:color="auto" w:fill="FFFFFF"/>
        </w:rPr>
        <w:t> </w:t>
      </w:r>
      <w:r w:rsidRPr="00DA0D0C">
        <w:rPr>
          <w:rStyle w:val="word-wrapper"/>
          <w:i/>
          <w:color w:val="242424"/>
          <w:sz w:val="26"/>
          <w:szCs w:val="26"/>
          <w:shd w:val="clear" w:color="auto" w:fill="FFFFFF"/>
        </w:rPr>
        <w:t>филиал, представительство или иное обособленное подразделение юридического лица Республики Беларусь, которые в соответствии с учетной политикой этого юридического лица осуществляют ведение бухучета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</w:t>
      </w:r>
      <w:r w:rsidRPr="00DA0D0C">
        <w:rPr>
          <w:rStyle w:val="word-wrapper"/>
          <w:color w:val="242424"/>
          <w:sz w:val="26"/>
          <w:szCs w:val="26"/>
          <w:shd w:val="clear" w:color="auto" w:fill="FFFFFF"/>
        </w:rPr>
        <w:t>.</w:t>
      </w:r>
    </w:p>
    <w:p w:rsidR="00E92F06" w:rsidRPr="00DA0D0C" w:rsidRDefault="00E92F06" w:rsidP="00E92F0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DA0D0C">
        <w:rPr>
          <w:rStyle w:val="word-wrapper"/>
          <w:color w:val="242424"/>
          <w:sz w:val="26"/>
          <w:szCs w:val="26"/>
        </w:rPr>
        <w:t>2)</w:t>
      </w:r>
      <w:r w:rsidRPr="00DA0D0C">
        <w:rPr>
          <w:rStyle w:val="fake-non-breaking-space"/>
          <w:color w:val="242424"/>
          <w:sz w:val="26"/>
          <w:szCs w:val="26"/>
        </w:rPr>
        <w:t> </w:t>
      </w:r>
      <w:r w:rsidRPr="00DA0D0C">
        <w:rPr>
          <w:rStyle w:val="word-wrapper"/>
          <w:b/>
          <w:bCs/>
          <w:color w:val="242424"/>
          <w:sz w:val="26"/>
          <w:szCs w:val="26"/>
        </w:rPr>
        <w:t>организации, которые получают от других лиц наличные и (или) безналичные денежные средства, не составляющие их валовую выручку</w:t>
      </w:r>
      <w:r w:rsidRPr="00DA0D0C">
        <w:rPr>
          <w:rStyle w:val="fake-non-breaking-space"/>
          <w:color w:val="242424"/>
          <w:sz w:val="26"/>
          <w:szCs w:val="26"/>
        </w:rPr>
        <w:t> </w:t>
      </w:r>
      <w:r w:rsidRPr="00DA0D0C">
        <w:rPr>
          <w:rStyle w:val="word-wrapper"/>
          <w:color w:val="242424"/>
          <w:sz w:val="26"/>
          <w:szCs w:val="26"/>
        </w:rPr>
        <w:t xml:space="preserve">и не являющиеся суммами (выручкой, </w:t>
      </w:r>
      <w:r w:rsidR="002E0BCD" w:rsidRPr="00DA0D0C">
        <w:rPr>
          <w:rStyle w:val="word-wrapper"/>
          <w:color w:val="242424"/>
          <w:sz w:val="26"/>
          <w:szCs w:val="26"/>
        </w:rPr>
        <w:t>доходами).</w:t>
      </w:r>
      <w:r w:rsidRPr="00DA0D0C">
        <w:rPr>
          <w:rStyle w:val="word-wrapper"/>
          <w:color w:val="242424"/>
          <w:sz w:val="26"/>
          <w:szCs w:val="26"/>
        </w:rPr>
        <w:t xml:space="preserve"> Данный запрет действует,</w:t>
      </w:r>
      <w:r w:rsidRPr="00DA0D0C">
        <w:rPr>
          <w:rStyle w:val="fake-non-breaking-space"/>
          <w:color w:val="242424"/>
          <w:sz w:val="26"/>
          <w:szCs w:val="26"/>
        </w:rPr>
        <w:t> </w:t>
      </w:r>
      <w:r w:rsidRPr="00DA0D0C">
        <w:rPr>
          <w:rStyle w:val="word-wrapper"/>
          <w:color w:val="242424"/>
          <w:sz w:val="26"/>
          <w:szCs w:val="26"/>
        </w:rPr>
        <w:t>в том числе если денежные средства получены этими организациями</w:t>
      </w:r>
      <w:r w:rsidR="002E0BCD" w:rsidRPr="00DA0D0C">
        <w:rPr>
          <w:rStyle w:val="word-wrapper"/>
          <w:color w:val="242424"/>
          <w:sz w:val="26"/>
          <w:szCs w:val="26"/>
        </w:rPr>
        <w:t>:</w:t>
      </w:r>
    </w:p>
    <w:p w:rsidR="00E92F06" w:rsidRPr="00DA0D0C" w:rsidRDefault="00E92F06" w:rsidP="00E92F0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DA0D0C">
        <w:rPr>
          <w:rStyle w:val="word-wrapper"/>
          <w:color w:val="242424"/>
          <w:sz w:val="26"/>
          <w:szCs w:val="26"/>
        </w:rPr>
        <w:t>- на основании договоров комиссии, поручения или иных аналогичных гражданско-правовых договоров, договоров транспортной экспедиции либо по договорам, заключенным ими во исполнение таких договоров;</w:t>
      </w:r>
    </w:p>
    <w:p w:rsidR="00E92F06" w:rsidRPr="00DA0D0C" w:rsidRDefault="00E92F06" w:rsidP="00E92F0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DA0D0C">
        <w:rPr>
          <w:rStyle w:val="word-wrapper"/>
          <w:color w:val="242424"/>
          <w:sz w:val="26"/>
          <w:szCs w:val="26"/>
        </w:rPr>
        <w:t xml:space="preserve">- как возмещение (оплата) расходов независимо от даты их осуществления и того, в чьих интересах они осуществлены (в том числе возмещение арендодателю (лизингодателю, </w:t>
      </w:r>
      <w:proofErr w:type="spellStart"/>
      <w:r w:rsidRPr="00DA0D0C">
        <w:rPr>
          <w:rStyle w:val="word-wrapper"/>
          <w:color w:val="242424"/>
          <w:sz w:val="26"/>
          <w:szCs w:val="26"/>
        </w:rPr>
        <w:t>наймодателю</w:t>
      </w:r>
      <w:proofErr w:type="spellEnd"/>
      <w:r w:rsidRPr="00DA0D0C">
        <w:rPr>
          <w:rStyle w:val="word-wrapper"/>
          <w:color w:val="242424"/>
          <w:sz w:val="26"/>
          <w:szCs w:val="26"/>
        </w:rPr>
        <w:t xml:space="preserve">) </w:t>
      </w:r>
      <w:r w:rsidR="002E0BCD" w:rsidRPr="00DA0D0C">
        <w:rPr>
          <w:rStyle w:val="word-wrapper"/>
          <w:color w:val="242424"/>
          <w:sz w:val="26"/>
          <w:szCs w:val="26"/>
        </w:rPr>
        <w:t>расходов</w:t>
      </w:r>
      <w:r w:rsidRPr="00DA0D0C">
        <w:rPr>
          <w:rStyle w:val="word-wrapper"/>
          <w:color w:val="242424"/>
          <w:sz w:val="26"/>
          <w:szCs w:val="26"/>
        </w:rPr>
        <w:t>;</w:t>
      </w:r>
    </w:p>
    <w:p w:rsidR="00E92F06" w:rsidRPr="00DA0D0C" w:rsidRDefault="00E92F06" w:rsidP="00E92F0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DA0D0C">
        <w:rPr>
          <w:rStyle w:val="word-wrapper"/>
          <w:color w:val="242424"/>
          <w:sz w:val="26"/>
          <w:szCs w:val="26"/>
        </w:rPr>
        <w:t>- в связи с участием в расчетах между иными лицами путем получения указанными организациями денежных средств от одного лица и их передачи (перечисления) другому лицу.</w:t>
      </w:r>
    </w:p>
    <w:p w:rsidR="00E92F06" w:rsidRPr="00DA0D0C" w:rsidRDefault="00E92F06" w:rsidP="00E92F06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DA0D0C">
        <w:rPr>
          <w:rStyle w:val="word-wrapper"/>
          <w:color w:val="242424"/>
          <w:sz w:val="26"/>
          <w:szCs w:val="26"/>
        </w:rPr>
        <w:t>Одновременно определено, что право на УСН сохраняется, если организация отразила в учетной политике решение о признании вышеуказанных "чужих" денежных средств внереализационными доходами с последующим налогообложением их в составе валовой выручки.</w:t>
      </w:r>
    </w:p>
    <w:p w:rsidR="00E92F06" w:rsidRPr="00DA0D0C" w:rsidRDefault="00110FD7" w:rsidP="00735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      </w:t>
      </w:r>
      <w:r w:rsidR="00E92F06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3) организации,</w:t>
      </w:r>
      <w:r w:rsidR="00E92F06" w:rsidRPr="00DA0D0C">
        <w:rPr>
          <w:rStyle w:val="fake-non-breaking-space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  <w:r w:rsidR="00E92F06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осуществляющие обмен </w:t>
      </w:r>
      <w:r w:rsidR="00E92F06" w:rsidRPr="00DA0D0C">
        <w:rPr>
          <w:rStyle w:val="word-wrapper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FFFFF"/>
        </w:rPr>
        <w:t>цифровых знаков (</w:t>
      </w:r>
      <w:proofErr w:type="spellStart"/>
      <w:r w:rsidR="00E92F06" w:rsidRPr="00DA0D0C">
        <w:rPr>
          <w:rStyle w:val="word-wrapper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FFFFF"/>
        </w:rPr>
        <w:t>токенов</w:t>
      </w:r>
      <w:proofErr w:type="spellEnd"/>
      <w:r w:rsidR="00E92F06" w:rsidRPr="00DA0D0C">
        <w:rPr>
          <w:rStyle w:val="word-wrapper"/>
          <w:rFonts w:ascii="Times New Roman" w:hAnsi="Times New Roman" w:cs="Times New Roman"/>
          <w:b/>
          <w:bCs/>
          <w:color w:val="242424"/>
          <w:sz w:val="26"/>
          <w:szCs w:val="26"/>
          <w:shd w:val="clear" w:color="auto" w:fill="FFFFFF"/>
        </w:rPr>
        <w:t>)</w:t>
      </w:r>
      <w:r w:rsidR="00E92F06" w:rsidRPr="00DA0D0C">
        <w:rPr>
          <w:rStyle w:val="fake-non-breaking-space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  <w:r w:rsidR="00E92F06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на иные цифровые знаки </w:t>
      </w:r>
      <w:r w:rsidR="002E0BCD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(</w:t>
      </w:r>
      <w:proofErr w:type="spellStart"/>
      <w:r w:rsidR="002E0BCD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токены</w:t>
      </w:r>
      <w:proofErr w:type="spellEnd"/>
      <w:r w:rsidR="002E0BCD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)</w:t>
      </w:r>
      <w:r w:rsidR="00E92F06" w:rsidRPr="00DA0D0C">
        <w:rPr>
          <w:rStyle w:val="word-wrapper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;</w:t>
      </w:r>
    </w:p>
    <w:p w:rsidR="00E92F06" w:rsidRPr="00E92F06" w:rsidRDefault="00E92F06" w:rsidP="00735A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A0D0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4)</w:t>
      </w:r>
      <w:r w:rsidRPr="00DA0D0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 доверительные управляющие </w:t>
      </w:r>
      <w:r w:rsidRPr="00DA0D0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доверительном управлении имуществом; </w:t>
      </w:r>
    </w:p>
    <w:p w:rsidR="00E92F06" w:rsidRPr="00E92F06" w:rsidRDefault="00E92F06" w:rsidP="00735A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A0D0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5) </w:t>
      </w:r>
      <w:proofErr w:type="spellStart"/>
      <w:r w:rsidRPr="00DA0D0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вверители</w:t>
      </w:r>
      <w:proofErr w:type="spellEnd"/>
      <w:r w:rsidRPr="00DA0D0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r w:rsidRPr="00DA0D0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доверительном управлении имуществом.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При этом с 2023 г. 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дополнен перечень сумм, которые не учитываются в валовой выручке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 В частности, к ним добавлены: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суммы налога на доходы (налога на прибыль), удержанные у организации в иностранных государствах при наличии соответствующего документального подтверждения;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 выручка (доходы) от операций с ценными бумагами, в том числе суммы, полученные эмитентами от размещения ценных бумаг;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суммы средств, безвозмездно полученные в рамках целевого финансирования из бюджета, государственных внебюджетных фондов либо внебюджетных централизованных инвестиционных фондов, сформированных в соответствии с 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актами Президента Республики Беларусь, из бюджета Союзного государства и использованные по целевому назначению (при установлении целевого назначения законодательством или в соответствии с ним);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суммы возмещения работниками организации стоимости питания, работ (услуг), которые приобретены организацией для этих р</w:t>
      </w:r>
      <w:r w:rsidR="002E0BCD" w:rsidRPr="00DA0D0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аботников либо их родственников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полученная организацией сумма оплаты товаров (работ, услуг), имущественных прав (внереализационного дохода), в размере которой выручка от реализации этих товаров (работ, услуг), имущественных прав (этот внереализационный доход) в соответствии с НК включена у этой организации (у юридического лица, правопреемником которого в связи с реорганизацией является эта организация) в налоговую базу налога при УСН, иного режима налогообложения либо учтена у нее (у него) при определении налоговой базы налога на прибыль . Таким образом, у организаций, которые в 2022 г. применяли принцип отражения выручки "по начислению", исключено повторное налогообложение "переходных" сумм оплаты, полученных в 2023 г. за отгрузки 2022 г.;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суммы, полученные бюджетными организациями, не связанные с осуществлением ими предпринимательской деятельности и не составляющие внереализационные доходы.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Кроме того,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 скорректирован перечень учитываемых внереализационных доходов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С 2023 г. для налога при УСН включаются внереализационные доходы, поименованные ст. 174 НК-2023. Также дополнено, что к иным внереализационным доходам, указанным в подп. 3.43 ст. 174 НК-2023, в том числе относятся: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суммы денежных средств, не составляющие валовую выручку плательщик</w:t>
      </w:r>
      <w:r w:rsidR="00735A0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а, но включенные в нее согласно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суммы возмещения работником плательщика расходов, которые не относятся к стоимости питания, работ (услуг), приобретенных организацией для этих работников (их родственников), и не являются выручкой этой организации и его внереализационным доходом, поименованным в других подпунктах п. 3 ст. 174 НК-2023.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2023 г. исключена возможность использования принципов отражения выручки "по оплате" и "по начислению" и 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установлен кассовый принцип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Согласно ему</w:t>
      </w:r>
      <w:r w:rsidR="009F354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выручка отражается по мере оплаты товаров (работ, услуг), имущественных прав (возмещения расходов и поступления иных сумм, составляющих выручку), 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 том числе получения предварительной оплаты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аванса, задатка, независимо от даты отгрузки товаров (выполнения работ, оказания услуг), передачи имущественных прав, даты осуществления возмещаемых расходов (п. 3 и 7 ст. 328 НК-2023).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Также в связи с переходом плательщиками налога при УСН на кассовый принцип отражения выручки определен порядок налогообложения "переходных" сумм предоплаты. В случае если у организации, применяющей на 31.12.2022 УСН, числится предоплата за товары (работы, услуги), имущественные права, которые не отгружены (не выполнены, не переданы) по эту дату, выручка отражается (п. 11 ст. 328 НК-2023):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на дату отгрузки товаров (выполнения работ, оказания услуг), передачи имущественных прав - если она приходится на 2023 г.;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- на 31.12.2023 - в иных случаях, если оплаченная сумма не была возвращена до этой даты.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2023 г. установлена одна 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ставка налога при УСН в размере 6%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Ставка 16% исключена (ст. 329 НК-2023).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Существенно изменен порядок ведения учета. С 2023 г. 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все плательщики налога при УСН обязаны вести книгу учета доходов и расходов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организаций, применяющих УСН (далее - книга при УСН). Данный учет может осуществляться в личном кабинете плательщика на сайте МНС (кроме учета для исчисления и уплаты обязательных страховых взносов и иных платежей в бюджет ФСЗН, а также учета расходов, производимых за счет средств бюджета ФСЗН). В этом случае плательщики могут использовать электронные сервисы, функционирующие в личном кабинете, для заполнения книги при УСН и декларации по налогу при УСН (п. 1 ст. 333 НК-2023, п. 168 ст. 2 Закона N 230-З).</w:t>
      </w: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Кроме того, отличительным новшеством является установление перечня плательщиков, для которых ведение учета в книге при УСН не будет заменять обязанность ведения бухучета, т.е. такие организации 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u w:val="single"/>
          <w:lang w:eastAsia="ru-RU"/>
        </w:rPr>
        <w:t>должны вести в 2023 г. как бухучет, так и книгу при УСН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Дополнительно к книге при УСН обязаны вести бухучет следующие плательщики (ч. 2 п. 2 ст. 333 НК-2023):</w:t>
      </w: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обязанные в соответствии с актами Президента Республики Беларусь перечислять в бюджет часть прибыли (дохода);</w:t>
      </w: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реализующие инвестиционные проекты в соответствии с заключенными с Республикой Беларусь инвестиционными договорами;</w:t>
      </w: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у которых численность работников организации в среднем с начала года по отчетный период включительно превысила 15 чел. и (или) валовая выручка организации нарастающим итогом с начала года превысила 900 000 руб.;</w:t>
      </w: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у которых в 2022 г. превышены критерии, дающие право не вести бухучет.</w:t>
      </w: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92F06" w:rsidRPr="00E92F06" w:rsidRDefault="00E92F06" w:rsidP="006751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2023 г. установлена обязанность </w:t>
      </w: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представлять декларацию по налогу при УСН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при отсутствии объектов налогоо</w:t>
      </w:r>
      <w:r w:rsidR="00116736" w:rsidRPr="00DA0D0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бложения в налоговом периоде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Критерии и порядок перехода на УСН в 2023 г. не меняются.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 Перейти на УСН с 01.01.2023 вправе организации, у которых численность работников в среднем за первые 9 месяцев 2022 г. не превышает 50 </w:t>
      </w:r>
      <w:proofErr w:type="gramStart"/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чел.</w:t>
      </w:r>
      <w:proofErr w:type="gramEnd"/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валовая выручка нарастающим итогом за эти 9 месяцев составляет не более 1 612 500 руб. </w:t>
      </w:r>
    </w:p>
    <w:p w:rsidR="00E92F06" w:rsidRPr="00E92F06" w:rsidRDefault="00E92F06" w:rsidP="00E92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92F0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Критерии применения УСН в 2023 г. также сохраняются на уровне 2022 г.</w:t>
      </w:r>
      <w:r w:rsidRPr="00E92F0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Организация обязана прекратить применение УСН с месяца, следующего за отчетным периодом, в котором валовая выручка превысила 2 150 000 руб. либо численность ее работников в среднем с начала года по отчетный период включительно превысила 50 чел. </w:t>
      </w: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54" w:rsidRDefault="00143B54" w:rsidP="00143B5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6"/>
    <w:rsid w:val="00007100"/>
    <w:rsid w:val="00030341"/>
    <w:rsid w:val="00110FD7"/>
    <w:rsid w:val="00116736"/>
    <w:rsid w:val="00143B54"/>
    <w:rsid w:val="002E0BCD"/>
    <w:rsid w:val="00335835"/>
    <w:rsid w:val="004C79DA"/>
    <w:rsid w:val="005C2712"/>
    <w:rsid w:val="00675143"/>
    <w:rsid w:val="006A4EB2"/>
    <w:rsid w:val="006E35BF"/>
    <w:rsid w:val="00735A08"/>
    <w:rsid w:val="0099148E"/>
    <w:rsid w:val="009F354D"/>
    <w:rsid w:val="00B41BB6"/>
    <w:rsid w:val="00BA282D"/>
    <w:rsid w:val="00D84686"/>
    <w:rsid w:val="00DA0D0C"/>
    <w:rsid w:val="00E57C16"/>
    <w:rsid w:val="00E92F06"/>
    <w:rsid w:val="00F32AFD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2B4"/>
  <w15:chartTrackingRefBased/>
  <w15:docId w15:val="{E2C5ADEE-2F00-4DE6-AF58-BC59531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E57C16"/>
  </w:style>
  <w:style w:type="character" w:customStyle="1" w:styleId="fake-non-breaking-space">
    <w:name w:val="fake-non-breaking-space"/>
    <w:basedOn w:val="a0"/>
    <w:rsid w:val="00E57C16"/>
  </w:style>
  <w:style w:type="paragraph" w:customStyle="1" w:styleId="il-text-indent095cm">
    <w:name w:val="il-text-indent_0_95cm"/>
    <w:basedOn w:val="a"/>
    <w:rsid w:val="00E9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E9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BB6"/>
    <w:rPr>
      <w:b/>
      <w:bCs/>
    </w:rPr>
  </w:style>
  <w:style w:type="paragraph" w:customStyle="1" w:styleId="il-text-alignleft">
    <w:name w:val="il-text-align_left"/>
    <w:basedOn w:val="a"/>
    <w:rsid w:val="00FA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315_Drozd_E_V</dc:creator>
  <cp:keywords/>
  <dc:description/>
  <cp:lastModifiedBy>Колеуш Елена Владимировна</cp:lastModifiedBy>
  <cp:revision>3</cp:revision>
  <dcterms:created xsi:type="dcterms:W3CDTF">2023-01-16T05:51:00Z</dcterms:created>
  <dcterms:modified xsi:type="dcterms:W3CDTF">2023-01-16T07:16:00Z</dcterms:modified>
</cp:coreProperties>
</file>